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D6386D" w14:textId="2DAB18AC" w:rsidR="003C21F8" w:rsidRPr="003C21F8" w:rsidRDefault="009D3C6B" w:rsidP="003C21F8">
      <w:pPr>
        <w:rPr>
          <w:b/>
          <w:bCs/>
        </w:rPr>
      </w:pPr>
      <w:r>
        <w:rPr>
          <w:b/>
          <w:bCs/>
        </w:rPr>
        <w:t>Samorządu konsumują miliardy z Polskiego Ładu</w:t>
      </w:r>
    </w:p>
    <w:p w14:paraId="0792C827" w14:textId="604F1A98" w:rsidR="00085567" w:rsidRDefault="003C21F8" w:rsidP="003C21F8">
      <w:pPr>
        <w:rPr>
          <w:b/>
          <w:bCs/>
        </w:rPr>
      </w:pPr>
      <w:r w:rsidRPr="009D3C6B">
        <w:rPr>
          <w:b/>
          <w:bCs/>
        </w:rPr>
        <w:t xml:space="preserve">Program Inwestycji Strategicznych Polski Ład, </w:t>
      </w:r>
      <w:r w:rsidR="00085567">
        <w:rPr>
          <w:b/>
          <w:bCs/>
        </w:rPr>
        <w:t>osiąga właśnie</w:t>
      </w:r>
      <w:r w:rsidRPr="009D3C6B">
        <w:rPr>
          <w:b/>
          <w:bCs/>
        </w:rPr>
        <w:t xml:space="preserve"> swoje apogeum finansowe, realizując wcześniej podjęte zobowiązania.</w:t>
      </w:r>
      <w:r w:rsidR="00085567">
        <w:rPr>
          <w:b/>
          <w:bCs/>
        </w:rPr>
        <w:t xml:space="preserve"> </w:t>
      </w:r>
      <w:r w:rsidR="00DB650F">
        <w:rPr>
          <w:b/>
          <w:bCs/>
        </w:rPr>
        <w:t xml:space="preserve">Nowa ustawa o finansowaniu </w:t>
      </w:r>
      <w:proofErr w:type="spellStart"/>
      <w:r w:rsidR="00DB650F">
        <w:rPr>
          <w:b/>
          <w:bCs/>
        </w:rPr>
        <w:t>jst</w:t>
      </w:r>
      <w:proofErr w:type="spellEnd"/>
      <w:r w:rsidR="00DB650F">
        <w:rPr>
          <w:b/>
          <w:bCs/>
        </w:rPr>
        <w:t xml:space="preserve"> koncentruje się na wzmacnianiu dochodów własnych, które dużo lepiej niż programy dotacyjne wzmacniają autonomię lokalną i pozwalają na samodzielny wybór i realizację priorytetów inwestycyjnych. Ale u</w:t>
      </w:r>
      <w:r w:rsidR="00085567" w:rsidRPr="00085567">
        <w:rPr>
          <w:b/>
          <w:bCs/>
        </w:rPr>
        <w:t>trzymanie  programów dotacyjnych</w:t>
      </w:r>
      <w:r w:rsidR="00DB650F">
        <w:rPr>
          <w:b/>
          <w:bCs/>
        </w:rPr>
        <w:t xml:space="preserve"> zbliżonych do Polskiego Ładu </w:t>
      </w:r>
      <w:r w:rsidR="00085567" w:rsidRPr="00085567">
        <w:rPr>
          <w:b/>
          <w:bCs/>
        </w:rPr>
        <w:t xml:space="preserve"> dla najsłabszych samorządów, byłoby uzasadnione, pod </w:t>
      </w:r>
      <w:r w:rsidR="00DB650F">
        <w:rPr>
          <w:b/>
          <w:bCs/>
        </w:rPr>
        <w:t xml:space="preserve">warunkiem </w:t>
      </w:r>
      <w:r w:rsidR="00085567" w:rsidRPr="00085567">
        <w:rPr>
          <w:b/>
          <w:bCs/>
        </w:rPr>
        <w:t>zapewnienia większej transparentności i uniknięcia politycznego skrzywienia alokacji.</w:t>
      </w:r>
    </w:p>
    <w:p w14:paraId="6CB5C61E" w14:textId="147E5DD2" w:rsidR="00B91F1B" w:rsidRPr="00085567" w:rsidRDefault="00B91F1B" w:rsidP="003C21F8">
      <w:pPr>
        <w:rPr>
          <w:b/>
          <w:bCs/>
        </w:rPr>
      </w:pPr>
      <w:r>
        <w:rPr>
          <w:noProof/>
        </w:rPr>
        <w:drawing>
          <wp:inline distT="0" distB="0" distL="0" distR="0" wp14:anchorId="4EE1EA93" wp14:editId="1A0579DF">
            <wp:extent cx="5760720" cy="3240405"/>
            <wp:effectExtent l="0" t="0" r="0" b="0"/>
            <wp:docPr id="1" name="Obraz 1" descr="Obraz zawierający zrzut ekranu, tekst, krąg, diagram&#10;&#10;Zawartość wygenerowana przez sztuczną inteligencję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braz zawierający zrzut ekranu, tekst, krąg, diagram&#10;&#10;Zawartość wygenerowana przez sztuczną inteligencję może być niepoprawna."/>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60720" cy="3240405"/>
                    </a:xfrm>
                    <a:prstGeom prst="rect">
                      <a:avLst/>
                    </a:prstGeom>
                  </pic:spPr>
                </pic:pic>
              </a:graphicData>
            </a:graphic>
          </wp:inline>
        </w:drawing>
      </w:r>
    </w:p>
    <w:p w14:paraId="043F60A1" w14:textId="116022E7" w:rsidR="003C21F8" w:rsidRPr="00085567" w:rsidRDefault="003C21F8" w:rsidP="003C21F8">
      <w:r w:rsidRPr="00085567">
        <w:t xml:space="preserve">Rok 2024 okazał się </w:t>
      </w:r>
      <w:r w:rsidR="00735F79">
        <w:t xml:space="preserve">dla Programu Inwestycji Strategicznych „Polski Ład” </w:t>
      </w:r>
      <w:r w:rsidRPr="00085567">
        <w:t>rekordowy pod względem faktycznych transferów środków i dynamicznej realizacji inwestycji. Dotacje z programu stanowi</w:t>
      </w:r>
      <w:r w:rsidR="009D3C6B" w:rsidRPr="00085567">
        <w:t xml:space="preserve">ły </w:t>
      </w:r>
      <w:r w:rsidRPr="00085567">
        <w:t>niemal 30</w:t>
      </w:r>
      <w:r w:rsidR="009D3C6B" w:rsidRPr="00085567">
        <w:t xml:space="preserve"> proc.</w:t>
      </w:r>
      <w:r w:rsidRPr="00085567">
        <w:t xml:space="preserve"> wartości wszystkich wydatków inwestycyjnych </w:t>
      </w:r>
      <w:r w:rsidR="009D3C6B" w:rsidRPr="00085567">
        <w:t>JST</w:t>
      </w:r>
      <w:r w:rsidRPr="00085567">
        <w:t>.</w:t>
      </w:r>
    </w:p>
    <w:p w14:paraId="0E6AA85A" w14:textId="79665695" w:rsidR="003C21F8" w:rsidRPr="00085567" w:rsidRDefault="003C21F8" w:rsidP="003C21F8">
      <w:r w:rsidRPr="00085567">
        <w:t xml:space="preserve">W pierwszym półroczu 2025 roku samorządy wydały na inwestycje finansowane programem niemal 8,1 miliarda złotych. </w:t>
      </w:r>
      <w:r w:rsidR="00DB650F">
        <w:t>J</w:t>
      </w:r>
      <w:r w:rsidRPr="00085567">
        <w:t xml:space="preserve">est to nieco mniej niż w analogicznym okresie 2024 r., </w:t>
      </w:r>
      <w:r w:rsidR="00DB650F">
        <w:t xml:space="preserve">ale </w:t>
      </w:r>
      <w:r w:rsidRPr="00085567">
        <w:t>tempo realizacji inwestycji pozostaje wysokie. Środki te kierowane są głównie do mniejszych i często uboższych gmin</w:t>
      </w:r>
      <w:r w:rsidR="00DB650F">
        <w:t xml:space="preserve">. </w:t>
      </w:r>
    </w:p>
    <w:p w14:paraId="4057E457" w14:textId="77777777" w:rsidR="00085567" w:rsidRPr="00085567" w:rsidRDefault="00085567" w:rsidP="00085567">
      <w:pPr>
        <w:numPr>
          <w:ilvl w:val="0"/>
          <w:numId w:val="2"/>
        </w:numPr>
      </w:pPr>
      <w:r w:rsidRPr="00085567">
        <w:t>Łączna kwota programu: 99 miliardów złotych przeznaczono na realizację Programu Inwestycji Strategicznych.</w:t>
      </w:r>
    </w:p>
    <w:p w14:paraId="5150ADC8" w14:textId="77777777" w:rsidR="00085567" w:rsidRPr="00085567" w:rsidRDefault="00085567" w:rsidP="00085567">
      <w:pPr>
        <w:numPr>
          <w:ilvl w:val="0"/>
          <w:numId w:val="2"/>
        </w:numPr>
      </w:pPr>
      <w:r w:rsidRPr="00085567">
        <w:t>Udział w inwestycjach samorządowych: Wzrost udziału dotacji z programu w ogólnej wartości wydatków inwestycyjnych samorządów:</w:t>
      </w:r>
    </w:p>
    <w:p w14:paraId="1F27B038" w14:textId="77777777" w:rsidR="00085567" w:rsidRPr="00085567" w:rsidRDefault="00085567" w:rsidP="00085567">
      <w:pPr>
        <w:numPr>
          <w:ilvl w:val="1"/>
          <w:numId w:val="2"/>
        </w:numPr>
      </w:pPr>
      <w:r w:rsidRPr="00085567">
        <w:t>2022 r.: 6%.</w:t>
      </w:r>
    </w:p>
    <w:p w14:paraId="50A010A9" w14:textId="77777777" w:rsidR="00085567" w:rsidRPr="00085567" w:rsidRDefault="00085567" w:rsidP="00085567">
      <w:pPr>
        <w:numPr>
          <w:ilvl w:val="1"/>
          <w:numId w:val="2"/>
        </w:numPr>
      </w:pPr>
      <w:r w:rsidRPr="00085567">
        <w:t>2024 r.: niemal 30%.</w:t>
      </w:r>
    </w:p>
    <w:p w14:paraId="27AC05B4" w14:textId="77777777" w:rsidR="00085567" w:rsidRPr="00085567" w:rsidRDefault="00085567" w:rsidP="00085567">
      <w:pPr>
        <w:numPr>
          <w:ilvl w:val="0"/>
          <w:numId w:val="2"/>
        </w:numPr>
      </w:pPr>
      <w:r w:rsidRPr="00085567">
        <w:lastRenderedPageBreak/>
        <w:t>Struktura sektorowa w 2024 r. (najważniejsze działy):</w:t>
      </w:r>
    </w:p>
    <w:p w14:paraId="0D6389DC" w14:textId="77777777" w:rsidR="00085567" w:rsidRPr="00085567" w:rsidRDefault="00085567" w:rsidP="00085567">
      <w:pPr>
        <w:numPr>
          <w:ilvl w:val="1"/>
          <w:numId w:val="2"/>
        </w:numPr>
      </w:pPr>
      <w:r w:rsidRPr="00085567">
        <w:t>Transport (drogi): Nieco mniej niż połowa (ok. 50%) wszystkich środków.</w:t>
      </w:r>
    </w:p>
    <w:p w14:paraId="3EAC6AA1" w14:textId="77777777" w:rsidR="00085567" w:rsidRPr="00085567" w:rsidRDefault="00085567" w:rsidP="00085567">
      <w:pPr>
        <w:numPr>
          <w:ilvl w:val="1"/>
          <w:numId w:val="2"/>
        </w:numPr>
      </w:pPr>
      <w:r w:rsidRPr="00085567">
        <w:t>Gospodarka komunalna: Ok. 20% wszystkich dotacji.</w:t>
      </w:r>
    </w:p>
    <w:p w14:paraId="778374AE" w14:textId="77777777" w:rsidR="00085567" w:rsidRPr="00085567" w:rsidRDefault="00085567" w:rsidP="00085567">
      <w:pPr>
        <w:numPr>
          <w:ilvl w:val="1"/>
          <w:numId w:val="2"/>
        </w:numPr>
      </w:pPr>
      <w:r w:rsidRPr="00085567">
        <w:t>Oświata: Ponad 10% wszystkich dotacji.</w:t>
      </w:r>
    </w:p>
    <w:p w14:paraId="14275ECC" w14:textId="77777777" w:rsidR="003C21F8" w:rsidRPr="003C21F8" w:rsidRDefault="003C21F8" w:rsidP="003C21F8">
      <w:pPr>
        <w:rPr>
          <w:b/>
          <w:bCs/>
        </w:rPr>
      </w:pPr>
      <w:r w:rsidRPr="003C21F8">
        <w:rPr>
          <w:b/>
          <w:bCs/>
        </w:rPr>
        <w:t>Brak Monitorowania Efektów Rzeczowych</w:t>
      </w:r>
    </w:p>
    <w:p w14:paraId="456C8390" w14:textId="703E4F1E" w:rsidR="003C21F8" w:rsidRPr="00085567" w:rsidRDefault="003C21F8" w:rsidP="003C21F8">
      <w:r w:rsidRPr="00085567">
        <w:t>Pomimo tak ogromnych środków (łącznie na realizację programu przeznaczono 99 miliardów złotych ), Bank Gospodarstwa Krajowego</w:t>
      </w:r>
      <w:r w:rsidR="00DE136F">
        <w:t xml:space="preserve">, który jest operatorem tego programu, </w:t>
      </w:r>
      <w:r w:rsidRPr="00085567">
        <w:t>nie dysponuje informacjami o łącznych efektach rzeczowych zrealizowanych inwestycji (np. ile kilometrów dróg zostało wyremontowanych). Wynika to z faktu, że uchwała Rady Ministrów i Regulaminy naboru nie nakładały na beneficjentów obowiązku przedstawiania tych efektów. Brak systematycznego monitorowania realnych rezultatów inwestycji w skali makro jest zaskakujący i budzi pytania o efektywność programu.</w:t>
      </w:r>
    </w:p>
    <w:p w14:paraId="6E5120A8" w14:textId="77777777" w:rsidR="003C21F8" w:rsidRPr="003C21F8" w:rsidRDefault="003C21F8" w:rsidP="003C21F8">
      <w:pPr>
        <w:rPr>
          <w:b/>
          <w:bCs/>
        </w:rPr>
      </w:pPr>
      <w:r w:rsidRPr="003C21F8">
        <w:rPr>
          <w:b/>
          <w:bCs/>
        </w:rPr>
        <w:t>Wnioski i Perspektywy</w:t>
      </w:r>
    </w:p>
    <w:p w14:paraId="395EC67E" w14:textId="7CF95325" w:rsidR="003C21F8" w:rsidRDefault="003C21F8" w:rsidP="003C21F8">
      <w:r w:rsidRPr="00085567">
        <w:t>W perspektywie długoterminowej, utrzymanie nowo wybudowanych obiektów będzie wyzwaniem dla samorządów w trudnej sytuacji budżetowej. W związku z tym, eksperci sugerują, że wzmocnienie i ustabilizowanie bieżących dochodów samorządów (w formie dochodów własnych lub usprawnionego systemu wyrównawczego) może być długofalowo ważniejsze niż przeznaczanie nowych środków na inwestycje. Równocześnie, dla wspierania policentrycznego rozwoju kraju, utrzymanie programów dotacyjnych, w szczególności dla najsłabszych samorządów, byłoby uzasadnione, pod warunkiem radykalnych zmian w ich konstrukcji w celu zapewnienia większej transparentności i uniknięcia politycznego skrzywienia alokacji.</w:t>
      </w:r>
    </w:p>
    <w:p w14:paraId="1B3D0481" w14:textId="77777777" w:rsidR="00DE136F" w:rsidRDefault="00DE136F" w:rsidP="003C21F8"/>
    <w:p w14:paraId="6297441A" w14:textId="0707775E" w:rsidR="00DE136F" w:rsidRDefault="00DE136F" w:rsidP="00DE136F">
      <w:r>
        <w:t>Cały dokument do pobrania lub przeczytania na stronie:</w:t>
      </w:r>
    </w:p>
    <w:p w14:paraId="0DD5E031" w14:textId="3027BC2E" w:rsidR="00DE136F" w:rsidRPr="00085567" w:rsidRDefault="00735F79" w:rsidP="00DE136F">
      <w:hyperlink r:id="rId6" w:history="1">
        <w:r w:rsidR="00DE136F" w:rsidRPr="00091877">
          <w:rPr>
            <w:rStyle w:val="Hipercze"/>
          </w:rPr>
          <w:t>Analizy i opinie nr 5 (73)/2025 - Narodowy Instytut Samorządu Terytorialnego</w:t>
        </w:r>
      </w:hyperlink>
    </w:p>
    <w:p w14:paraId="21FF84D3" w14:textId="77777777" w:rsidR="00DE136F" w:rsidRPr="00085567" w:rsidRDefault="00DE136F" w:rsidP="003C21F8"/>
    <w:sectPr w:rsidR="00DE136F" w:rsidRPr="0008556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267050"/>
    <w:multiLevelType w:val="multilevel"/>
    <w:tmpl w:val="072A478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D454487"/>
    <w:multiLevelType w:val="multilevel"/>
    <w:tmpl w:val="595C7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9642222">
    <w:abstractNumId w:val="1"/>
  </w:num>
  <w:num w:numId="2" w16cid:durableId="12714718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1F8"/>
    <w:rsid w:val="00085567"/>
    <w:rsid w:val="001C1869"/>
    <w:rsid w:val="002608BF"/>
    <w:rsid w:val="003C21F8"/>
    <w:rsid w:val="005F66B0"/>
    <w:rsid w:val="00735F79"/>
    <w:rsid w:val="00754368"/>
    <w:rsid w:val="009036F5"/>
    <w:rsid w:val="009D3C6B"/>
    <w:rsid w:val="00B20DCC"/>
    <w:rsid w:val="00B91F1B"/>
    <w:rsid w:val="00C1728D"/>
    <w:rsid w:val="00DB650F"/>
    <w:rsid w:val="00DD2DDA"/>
    <w:rsid w:val="00DE13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2E811"/>
  <w15:chartTrackingRefBased/>
  <w15:docId w15:val="{74C513F4-0B9D-4000-B927-528DA8634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3C21F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3C21F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3C21F8"/>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3C21F8"/>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3C21F8"/>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3C21F8"/>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3C21F8"/>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3C21F8"/>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3C21F8"/>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3C21F8"/>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3C21F8"/>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3C21F8"/>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3C21F8"/>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3C21F8"/>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3C21F8"/>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3C21F8"/>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3C21F8"/>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3C21F8"/>
    <w:rPr>
      <w:rFonts w:eastAsiaTheme="majorEastAsia" w:cstheme="majorBidi"/>
      <w:color w:val="272727" w:themeColor="text1" w:themeTint="D8"/>
    </w:rPr>
  </w:style>
  <w:style w:type="paragraph" w:styleId="Tytu">
    <w:name w:val="Title"/>
    <w:basedOn w:val="Normalny"/>
    <w:next w:val="Normalny"/>
    <w:link w:val="TytuZnak"/>
    <w:uiPriority w:val="10"/>
    <w:qFormat/>
    <w:rsid w:val="003C21F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3C21F8"/>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3C21F8"/>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3C21F8"/>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3C21F8"/>
    <w:pPr>
      <w:spacing w:before="160"/>
      <w:jc w:val="center"/>
    </w:pPr>
    <w:rPr>
      <w:i/>
      <w:iCs/>
      <w:color w:val="404040" w:themeColor="text1" w:themeTint="BF"/>
    </w:rPr>
  </w:style>
  <w:style w:type="character" w:customStyle="1" w:styleId="CytatZnak">
    <w:name w:val="Cytat Znak"/>
    <w:basedOn w:val="Domylnaczcionkaakapitu"/>
    <w:link w:val="Cytat"/>
    <w:uiPriority w:val="29"/>
    <w:rsid w:val="003C21F8"/>
    <w:rPr>
      <w:i/>
      <w:iCs/>
      <w:color w:val="404040" w:themeColor="text1" w:themeTint="BF"/>
    </w:rPr>
  </w:style>
  <w:style w:type="paragraph" w:styleId="Akapitzlist">
    <w:name w:val="List Paragraph"/>
    <w:basedOn w:val="Normalny"/>
    <w:uiPriority w:val="34"/>
    <w:qFormat/>
    <w:rsid w:val="003C21F8"/>
    <w:pPr>
      <w:ind w:left="720"/>
      <w:contextualSpacing/>
    </w:pPr>
  </w:style>
  <w:style w:type="character" w:styleId="Wyrnienieintensywne">
    <w:name w:val="Intense Emphasis"/>
    <w:basedOn w:val="Domylnaczcionkaakapitu"/>
    <w:uiPriority w:val="21"/>
    <w:qFormat/>
    <w:rsid w:val="003C21F8"/>
    <w:rPr>
      <w:i/>
      <w:iCs/>
      <w:color w:val="0F4761" w:themeColor="accent1" w:themeShade="BF"/>
    </w:rPr>
  </w:style>
  <w:style w:type="paragraph" w:styleId="Cytatintensywny">
    <w:name w:val="Intense Quote"/>
    <w:basedOn w:val="Normalny"/>
    <w:next w:val="Normalny"/>
    <w:link w:val="CytatintensywnyZnak"/>
    <w:uiPriority w:val="30"/>
    <w:qFormat/>
    <w:rsid w:val="003C21F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3C21F8"/>
    <w:rPr>
      <w:i/>
      <w:iCs/>
      <w:color w:val="0F4761" w:themeColor="accent1" w:themeShade="BF"/>
    </w:rPr>
  </w:style>
  <w:style w:type="character" w:styleId="Odwoanieintensywne">
    <w:name w:val="Intense Reference"/>
    <w:basedOn w:val="Domylnaczcionkaakapitu"/>
    <w:uiPriority w:val="32"/>
    <w:qFormat/>
    <w:rsid w:val="003C21F8"/>
    <w:rPr>
      <w:b/>
      <w:bCs/>
      <w:smallCaps/>
      <w:color w:val="0F4761" w:themeColor="accent1" w:themeShade="BF"/>
      <w:spacing w:val="5"/>
    </w:rPr>
  </w:style>
  <w:style w:type="paragraph" w:styleId="Poprawka">
    <w:name w:val="Revision"/>
    <w:hidden/>
    <w:uiPriority w:val="99"/>
    <w:semiHidden/>
    <w:rsid w:val="00DB650F"/>
    <w:pPr>
      <w:spacing w:after="0" w:line="240" w:lineRule="auto"/>
    </w:pPr>
  </w:style>
  <w:style w:type="character" w:styleId="Odwoaniedokomentarza">
    <w:name w:val="annotation reference"/>
    <w:basedOn w:val="Domylnaczcionkaakapitu"/>
    <w:uiPriority w:val="99"/>
    <w:semiHidden/>
    <w:unhideWhenUsed/>
    <w:rsid w:val="00DB650F"/>
    <w:rPr>
      <w:sz w:val="16"/>
      <w:szCs w:val="16"/>
    </w:rPr>
  </w:style>
  <w:style w:type="paragraph" w:styleId="Tekstkomentarza">
    <w:name w:val="annotation text"/>
    <w:basedOn w:val="Normalny"/>
    <w:link w:val="TekstkomentarzaZnak"/>
    <w:uiPriority w:val="99"/>
    <w:semiHidden/>
    <w:unhideWhenUsed/>
    <w:rsid w:val="00DB650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B650F"/>
    <w:rPr>
      <w:sz w:val="20"/>
      <w:szCs w:val="20"/>
    </w:rPr>
  </w:style>
  <w:style w:type="paragraph" w:styleId="Tematkomentarza">
    <w:name w:val="annotation subject"/>
    <w:basedOn w:val="Tekstkomentarza"/>
    <w:next w:val="Tekstkomentarza"/>
    <w:link w:val="TematkomentarzaZnak"/>
    <w:uiPriority w:val="99"/>
    <w:semiHidden/>
    <w:unhideWhenUsed/>
    <w:rsid w:val="00DB650F"/>
    <w:rPr>
      <w:b/>
      <w:bCs/>
    </w:rPr>
  </w:style>
  <w:style w:type="character" w:customStyle="1" w:styleId="TematkomentarzaZnak">
    <w:name w:val="Temat komentarza Znak"/>
    <w:basedOn w:val="TekstkomentarzaZnak"/>
    <w:link w:val="Tematkomentarza"/>
    <w:uiPriority w:val="99"/>
    <w:semiHidden/>
    <w:rsid w:val="00DB650F"/>
    <w:rPr>
      <w:b/>
      <w:bCs/>
      <w:sz w:val="20"/>
      <w:szCs w:val="20"/>
    </w:rPr>
  </w:style>
  <w:style w:type="character" w:styleId="Hipercze">
    <w:name w:val="Hyperlink"/>
    <w:basedOn w:val="Domylnaczcionkaakapitu"/>
    <w:uiPriority w:val="99"/>
    <w:unhideWhenUsed/>
    <w:rsid w:val="00DE136F"/>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675225">
      <w:bodyDiv w:val="1"/>
      <w:marLeft w:val="0"/>
      <w:marRight w:val="0"/>
      <w:marTop w:val="0"/>
      <w:marBottom w:val="0"/>
      <w:divBdr>
        <w:top w:val="none" w:sz="0" w:space="0" w:color="auto"/>
        <w:left w:val="none" w:sz="0" w:space="0" w:color="auto"/>
        <w:bottom w:val="none" w:sz="0" w:space="0" w:color="auto"/>
        <w:right w:val="none" w:sz="0" w:space="0" w:color="auto"/>
      </w:divBdr>
    </w:div>
    <w:div w:id="1456560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ist.gov.pl/k/analizy-i-opinie-nr-5-73-2025,14975.html"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454</Words>
  <Characters>2726</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Andrzej Gniadkowski</dc:creator>
  <cp:keywords/>
  <dc:description/>
  <cp:lastModifiedBy>Andrzej Gniadkowski</cp:lastModifiedBy>
  <cp:revision>4</cp:revision>
  <dcterms:created xsi:type="dcterms:W3CDTF">2025-10-20T11:43:00Z</dcterms:created>
  <dcterms:modified xsi:type="dcterms:W3CDTF">2025-10-20T13:48:00Z</dcterms:modified>
</cp:coreProperties>
</file>